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59" w:rsidRDefault="00806442">
      <w:pPr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38175" cy="7048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62" cy="7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794659" w:rsidRDefault="00806442">
      <w:pPr>
        <w:pBdr>
          <w:bottom w:val="single" w:sz="12" w:space="0" w:color="auto"/>
        </w:pBdr>
        <w:jc w:val="center"/>
        <w:rPr>
          <w:b/>
          <w:sz w:val="28"/>
        </w:rPr>
      </w:pPr>
      <w:r>
        <w:rPr>
          <w:b/>
          <w:sz w:val="28"/>
        </w:rPr>
        <w:t>АДМИНИСТРАЦИЯ КУЙТЕЖСКОГО СЕЛЬСКОГО ПОСЕЛЕНИЯ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 xml:space="preserve">186021, Россия, Республика Карелия, Олонецкий район, 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Куйтежское сельское поселение, д. Куйтежа, ул. Ленина, д. 21</w:t>
      </w:r>
    </w:p>
    <w:p w:rsidR="00794659" w:rsidRDefault="00794659">
      <w:pPr>
        <w:jc w:val="center"/>
        <w:rPr>
          <w:b/>
        </w:rPr>
      </w:pPr>
    </w:p>
    <w:p w:rsidR="00794659" w:rsidRDefault="00806442">
      <w:pPr>
        <w:jc w:val="center"/>
      </w:pPr>
      <w:r>
        <w:rPr>
          <w:b/>
          <w:sz w:val="28"/>
        </w:rPr>
        <w:t>Постановление</w:t>
      </w:r>
    </w:p>
    <w:p w:rsidR="00794659" w:rsidRDefault="00806442">
      <w:pPr>
        <w:shd w:val="clear" w:color="auto" w:fill="FFFFFF"/>
        <w:tabs>
          <w:tab w:val="left" w:pos="3677"/>
        </w:tabs>
        <w:ind w:left="19" w:right="1560"/>
        <w:jc w:val="center"/>
      </w:pPr>
      <w:r>
        <w:rPr>
          <w:sz w:val="28"/>
        </w:rPr>
        <w:tab/>
        <w:t xml:space="preserve">                                              </w:t>
      </w:r>
    </w:p>
    <w:p w:rsidR="00794659" w:rsidRDefault="00806442">
      <w:pPr>
        <w:jc w:val="both"/>
        <w:rPr>
          <w:b/>
          <w:sz w:val="28"/>
        </w:rPr>
      </w:pPr>
      <w:r>
        <w:rPr>
          <w:b/>
          <w:sz w:val="28"/>
        </w:rPr>
        <w:t xml:space="preserve">от  </w:t>
      </w:r>
      <w:r w:rsidR="007743DA">
        <w:rPr>
          <w:b/>
          <w:sz w:val="28"/>
        </w:rPr>
        <w:t xml:space="preserve">16 сентября   </w:t>
      </w:r>
      <w:r>
        <w:rPr>
          <w:b/>
          <w:sz w:val="28"/>
        </w:rPr>
        <w:t>202</w:t>
      </w:r>
      <w:r w:rsidR="007743DA">
        <w:rPr>
          <w:b/>
          <w:sz w:val="28"/>
        </w:rPr>
        <w:t>4</w:t>
      </w:r>
      <w:r w:rsidR="0083727B">
        <w:rPr>
          <w:b/>
          <w:sz w:val="28"/>
        </w:rPr>
        <w:t xml:space="preserve"> года</w:t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</w:r>
      <w:r w:rsidR="0083727B">
        <w:rPr>
          <w:b/>
          <w:sz w:val="28"/>
        </w:rPr>
        <w:tab/>
        <w:t xml:space="preserve">    </w:t>
      </w:r>
      <w:r>
        <w:rPr>
          <w:b/>
          <w:sz w:val="28"/>
        </w:rPr>
        <w:t>№</w:t>
      </w:r>
      <w:r w:rsidR="0083727B">
        <w:rPr>
          <w:b/>
          <w:sz w:val="28"/>
        </w:rPr>
        <w:t xml:space="preserve"> </w:t>
      </w:r>
      <w:r w:rsidR="00E64E33">
        <w:rPr>
          <w:b/>
          <w:sz w:val="28"/>
        </w:rPr>
        <w:t>20</w:t>
      </w:r>
    </w:p>
    <w:p w:rsidR="00794659" w:rsidRDefault="00794659">
      <w:pPr>
        <w:rPr>
          <w:b/>
        </w:rPr>
      </w:pPr>
    </w:p>
    <w:p w:rsidR="00E64E33" w:rsidRDefault="00E64E33" w:rsidP="00E64E33">
      <w:pPr>
        <w:suppressAutoHyphens/>
        <w:rPr>
          <w:rFonts w:eastAsia="Calibri"/>
          <w:b/>
          <w:bCs/>
          <w:iCs/>
          <w:sz w:val="28"/>
          <w:szCs w:val="28"/>
          <w:lang w:eastAsia="zh-CN"/>
        </w:rPr>
      </w:pPr>
      <w:r w:rsidRPr="00B249E5">
        <w:rPr>
          <w:rFonts w:eastAsia="Calibri"/>
          <w:b/>
          <w:bCs/>
          <w:iCs/>
          <w:lang w:eastAsia="zh-CN"/>
        </w:rPr>
        <w:t>«</w:t>
      </w:r>
      <w:r w:rsidRPr="00E64E33">
        <w:rPr>
          <w:rFonts w:eastAsia="Calibri"/>
          <w:b/>
          <w:bCs/>
          <w:iCs/>
          <w:sz w:val="28"/>
          <w:szCs w:val="28"/>
          <w:lang w:eastAsia="zh-CN"/>
        </w:rPr>
        <w:t xml:space="preserve">Об утверждении Порядка ведения реестра </w:t>
      </w:r>
    </w:p>
    <w:p w:rsidR="00E64E33" w:rsidRPr="00E64E33" w:rsidRDefault="00E64E33" w:rsidP="00E64E33">
      <w:pPr>
        <w:suppressAutoHyphens/>
        <w:rPr>
          <w:rFonts w:eastAsia="Calibri"/>
          <w:b/>
          <w:bCs/>
          <w:iCs/>
          <w:sz w:val="28"/>
          <w:szCs w:val="28"/>
          <w:lang w:eastAsia="zh-CN"/>
        </w:rPr>
      </w:pPr>
      <w:r w:rsidRPr="00E64E33">
        <w:rPr>
          <w:rFonts w:eastAsia="Calibri"/>
          <w:b/>
          <w:bCs/>
          <w:iCs/>
          <w:sz w:val="28"/>
          <w:szCs w:val="28"/>
          <w:lang w:eastAsia="zh-CN"/>
        </w:rPr>
        <w:t>муниципального имущества»</w:t>
      </w:r>
    </w:p>
    <w:p w:rsidR="00E64E33" w:rsidRPr="00E64E33" w:rsidRDefault="00E64E33" w:rsidP="00E64E33">
      <w:pPr>
        <w:shd w:val="clear" w:color="auto" w:fill="FFFFFF"/>
        <w:tabs>
          <w:tab w:val="left" w:pos="4635"/>
        </w:tabs>
        <w:suppressAutoHyphens/>
        <w:rPr>
          <w:rFonts w:eastAsia="Calibri"/>
          <w:iCs/>
          <w:sz w:val="28"/>
          <w:szCs w:val="28"/>
          <w:lang w:eastAsia="zh-CN"/>
        </w:rPr>
      </w:pPr>
    </w:p>
    <w:p w:rsidR="00E64E33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zh-CN"/>
        </w:rPr>
      </w:pPr>
      <w:r w:rsidRPr="00E64E33">
        <w:rPr>
          <w:rFonts w:eastAsia="Calibri"/>
          <w:bCs/>
          <w:iCs/>
          <w:sz w:val="28"/>
          <w:szCs w:val="28"/>
          <w:lang w:eastAsia="zh-CN"/>
        </w:rPr>
        <w:t xml:space="preserve">     </w:t>
      </w:r>
      <w:proofErr w:type="gramStart"/>
      <w:r w:rsidRPr="00E64E33">
        <w:rPr>
          <w:rFonts w:eastAsia="Calibri"/>
          <w:bCs/>
          <w:iCs/>
          <w:sz w:val="28"/>
          <w:szCs w:val="28"/>
          <w:lang w:eastAsia="zh-CN"/>
        </w:rPr>
        <w:t xml:space="preserve">В соответствии с Федеральным законом от 06 октября 2003 года №131-Ф3 «Об общих принципах организации местного самоуправления в Российской Федерации», </w:t>
      </w:r>
      <w:r w:rsidRPr="00E64E33">
        <w:rPr>
          <w:rFonts w:eastAsia="Calibri"/>
          <w:iCs/>
          <w:sz w:val="28"/>
          <w:szCs w:val="28"/>
          <w:lang w:eastAsia="zh-CN"/>
        </w:rPr>
        <w:t xml:space="preserve">Приказом Министерства финансов Российской Федерации от 10 октября </w:t>
      </w:r>
      <w:smartTag w:uri="urn:schemas-microsoft-com:office:smarttags" w:element="metricconverter">
        <w:smartTagPr>
          <w:attr w:name="ProductID" w:val="2023 г"/>
        </w:smartTagPr>
        <w:r w:rsidRPr="00E64E33">
          <w:rPr>
            <w:rFonts w:eastAsia="Calibri"/>
            <w:iCs/>
            <w:sz w:val="28"/>
            <w:szCs w:val="28"/>
            <w:lang w:eastAsia="zh-CN"/>
          </w:rPr>
          <w:t>2023 г</w:t>
        </w:r>
      </w:smartTag>
      <w:r w:rsidRPr="00E64E33">
        <w:rPr>
          <w:rFonts w:eastAsia="Calibri"/>
          <w:iCs/>
          <w:sz w:val="28"/>
          <w:szCs w:val="28"/>
          <w:lang w:eastAsia="zh-CN"/>
        </w:rPr>
        <w:t>. № 163н «Об утверждении порядка ведения органами местного самоуправления реестров муниципального имущества»</w:t>
      </w:r>
      <w:r w:rsidRPr="00E64E33">
        <w:rPr>
          <w:rFonts w:eastAsia="Calibri"/>
          <w:bCs/>
          <w:iCs/>
          <w:sz w:val="28"/>
          <w:szCs w:val="28"/>
          <w:lang w:eastAsia="zh-CN"/>
        </w:rPr>
        <w:t xml:space="preserve"> и в целях повышения эффективности управления имуществом, находящемся в муниципальной собственности К</w:t>
      </w:r>
      <w:r>
        <w:rPr>
          <w:rFonts w:eastAsia="Calibri"/>
          <w:bCs/>
          <w:iCs/>
          <w:sz w:val="28"/>
          <w:szCs w:val="28"/>
          <w:lang w:eastAsia="zh-CN"/>
        </w:rPr>
        <w:t>уйтеж</w:t>
      </w:r>
      <w:r w:rsidRPr="00E64E33">
        <w:rPr>
          <w:rFonts w:eastAsia="Calibri"/>
          <w:bCs/>
          <w:iCs/>
          <w:sz w:val="28"/>
          <w:szCs w:val="28"/>
          <w:lang w:eastAsia="zh-CN"/>
        </w:rPr>
        <w:t xml:space="preserve">ского сельского поселения, </w:t>
      </w:r>
      <w:proofErr w:type="gramEnd"/>
    </w:p>
    <w:p w:rsidR="00E64E33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zh-CN"/>
        </w:rPr>
      </w:pPr>
    </w:p>
    <w:p w:rsidR="00E64E33" w:rsidRPr="00E64E33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iCs/>
          <w:sz w:val="28"/>
          <w:szCs w:val="28"/>
          <w:lang w:eastAsia="zh-CN"/>
        </w:rPr>
      </w:pPr>
      <w:r w:rsidRPr="00E64E33">
        <w:rPr>
          <w:rFonts w:eastAsia="Calibri"/>
          <w:iCs/>
          <w:sz w:val="28"/>
          <w:szCs w:val="28"/>
          <w:lang w:eastAsia="zh-CN"/>
        </w:rPr>
        <w:t>администрация К</w:t>
      </w:r>
      <w:r>
        <w:rPr>
          <w:rFonts w:eastAsia="Calibri"/>
          <w:iCs/>
          <w:sz w:val="28"/>
          <w:szCs w:val="28"/>
          <w:lang w:eastAsia="zh-CN"/>
        </w:rPr>
        <w:t>уйтеж</w:t>
      </w:r>
      <w:r w:rsidRPr="00E64E33">
        <w:rPr>
          <w:rFonts w:eastAsia="Calibri"/>
          <w:iCs/>
          <w:sz w:val="28"/>
          <w:szCs w:val="28"/>
          <w:lang w:eastAsia="zh-CN"/>
        </w:rPr>
        <w:t>ского сельского поселения постановляет</w:t>
      </w:r>
      <w:r w:rsidRPr="00E64E33">
        <w:rPr>
          <w:rFonts w:eastAsia="Calibri"/>
          <w:b/>
          <w:iCs/>
          <w:sz w:val="28"/>
          <w:szCs w:val="28"/>
          <w:lang w:eastAsia="zh-CN"/>
        </w:rPr>
        <w:t>:</w:t>
      </w:r>
    </w:p>
    <w:p w:rsidR="00E64E33" w:rsidRPr="00E64E33" w:rsidRDefault="00E64E33" w:rsidP="00E64E33">
      <w:pPr>
        <w:suppressAutoHyphens/>
        <w:jc w:val="both"/>
        <w:rPr>
          <w:rFonts w:eastAsia="Calibri"/>
          <w:b/>
          <w:iCs/>
          <w:sz w:val="28"/>
          <w:szCs w:val="28"/>
          <w:lang w:eastAsia="zh-CN"/>
        </w:rPr>
      </w:pPr>
    </w:p>
    <w:p w:rsidR="00E64E33" w:rsidRPr="00E64E33" w:rsidRDefault="00E64E33" w:rsidP="00E64E33">
      <w:pPr>
        <w:numPr>
          <w:ilvl w:val="0"/>
          <w:numId w:val="5"/>
        </w:numPr>
        <w:tabs>
          <w:tab w:val="clear" w:pos="720"/>
        </w:tabs>
        <w:suppressAutoHyphens/>
        <w:spacing w:after="200" w:line="276" w:lineRule="auto"/>
        <w:ind w:left="142" w:firstLine="218"/>
        <w:jc w:val="both"/>
        <w:rPr>
          <w:bCs/>
          <w:iCs/>
          <w:color w:val="000000"/>
          <w:sz w:val="28"/>
          <w:szCs w:val="28"/>
          <w:lang w:eastAsia="ar-SA"/>
        </w:rPr>
      </w:pPr>
      <w:r w:rsidRPr="00E64E33">
        <w:rPr>
          <w:bCs/>
          <w:iCs/>
          <w:color w:val="000000"/>
          <w:sz w:val="28"/>
          <w:szCs w:val="28"/>
          <w:lang w:eastAsia="ar-SA"/>
        </w:rPr>
        <w:t>Утвердить Порядок ведения реестра муниципального имущества согласно приложению.</w:t>
      </w:r>
    </w:p>
    <w:p w:rsidR="00E64E33" w:rsidRPr="00E64E33" w:rsidRDefault="00E64E33" w:rsidP="00E64E33">
      <w:pPr>
        <w:tabs>
          <w:tab w:val="left" w:pos="994"/>
        </w:tabs>
        <w:ind w:firstLine="426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eastAsia="ar-SA"/>
        </w:rPr>
        <w:t xml:space="preserve">2. </w:t>
      </w:r>
      <w:r w:rsidRPr="00E64E33">
        <w:rPr>
          <w:bCs/>
          <w:iCs/>
          <w:color w:val="000000"/>
          <w:sz w:val="28"/>
          <w:szCs w:val="28"/>
          <w:lang w:eastAsia="ar-SA"/>
        </w:rPr>
        <w:t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</w:t>
      </w:r>
      <w:r>
        <w:rPr>
          <w:bCs/>
          <w:iCs/>
          <w:color w:val="000000"/>
          <w:sz w:val="28"/>
          <w:szCs w:val="28"/>
          <w:lang w:eastAsia="ar-SA"/>
        </w:rPr>
        <w:t>уйтеж</w:t>
      </w:r>
      <w:r w:rsidRPr="00E64E33">
        <w:rPr>
          <w:bCs/>
          <w:iCs/>
          <w:color w:val="000000"/>
          <w:sz w:val="28"/>
          <w:szCs w:val="28"/>
          <w:lang w:eastAsia="ar-SA"/>
        </w:rPr>
        <w:t>ского сельского поселения по адресу</w:t>
      </w:r>
      <w:r w:rsidRPr="00670CF9">
        <w:rPr>
          <w:sz w:val="28"/>
          <w:szCs w:val="28"/>
        </w:rPr>
        <w:t xml:space="preserve">: </w:t>
      </w:r>
      <w:hyperlink r:id="rId6" w:history="1">
        <w:r w:rsidRPr="00670CF9">
          <w:rPr>
            <w:rStyle w:val="a6"/>
            <w:sz w:val="28"/>
            <w:szCs w:val="28"/>
            <w:lang w:val="en-US"/>
          </w:rPr>
          <w:t>http</w:t>
        </w:r>
        <w:r w:rsidRPr="00670CF9">
          <w:rPr>
            <w:rStyle w:val="a6"/>
            <w:sz w:val="28"/>
            <w:szCs w:val="28"/>
          </w:rPr>
          <w:t>://</w:t>
        </w:r>
        <w:proofErr w:type="spellStart"/>
        <w:r w:rsidRPr="00670CF9">
          <w:rPr>
            <w:rStyle w:val="a6"/>
            <w:sz w:val="28"/>
            <w:szCs w:val="28"/>
            <w:lang w:val="en-US"/>
          </w:rPr>
          <w:t>kuitezhaadm</w:t>
        </w:r>
        <w:proofErr w:type="spellEnd"/>
        <w:r w:rsidRPr="00670CF9">
          <w:rPr>
            <w:rStyle w:val="a6"/>
            <w:sz w:val="28"/>
            <w:szCs w:val="28"/>
          </w:rPr>
          <w:t>.</w:t>
        </w:r>
        <w:proofErr w:type="spellStart"/>
        <w:r w:rsidRPr="00670CF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>.</w:t>
      </w:r>
    </w:p>
    <w:p w:rsidR="00E64E33" w:rsidRPr="00E64E33" w:rsidRDefault="00E64E33" w:rsidP="00E64E33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zh-CN"/>
        </w:rPr>
      </w:pPr>
      <w:r>
        <w:rPr>
          <w:rFonts w:eastAsia="Calibri"/>
          <w:bCs/>
          <w:iCs/>
          <w:sz w:val="28"/>
          <w:szCs w:val="28"/>
          <w:lang w:eastAsia="zh-CN"/>
        </w:rPr>
        <w:t xml:space="preserve">Протасову Е.В - бухгалтера администрации </w:t>
      </w:r>
      <w:r w:rsidRPr="00E64E33">
        <w:rPr>
          <w:rFonts w:eastAsia="Calibri"/>
          <w:bCs/>
          <w:iCs/>
          <w:sz w:val="28"/>
          <w:szCs w:val="28"/>
          <w:lang w:eastAsia="zh-CN"/>
        </w:rPr>
        <w:t>назначить ответственной за ведение и актуализацию сведений в реестре.</w:t>
      </w:r>
    </w:p>
    <w:p w:rsidR="00E64E33" w:rsidRPr="00E64E33" w:rsidRDefault="00E64E33" w:rsidP="00E64E33">
      <w:pPr>
        <w:numPr>
          <w:ilvl w:val="0"/>
          <w:numId w:val="5"/>
        </w:numPr>
        <w:suppressAutoHyphens/>
        <w:spacing w:after="200" w:line="276" w:lineRule="auto"/>
        <w:rPr>
          <w:rFonts w:eastAsia="Calibri"/>
          <w:bCs/>
          <w:iCs/>
          <w:sz w:val="28"/>
          <w:szCs w:val="28"/>
          <w:lang w:eastAsia="zh-CN"/>
        </w:rPr>
      </w:pPr>
      <w:proofErr w:type="gramStart"/>
      <w:r w:rsidRPr="00E64E33">
        <w:rPr>
          <w:rFonts w:eastAsia="Calibri"/>
          <w:bCs/>
          <w:iCs/>
          <w:sz w:val="28"/>
          <w:szCs w:val="28"/>
          <w:lang w:eastAsia="zh-CN"/>
        </w:rPr>
        <w:t>Контроль за</w:t>
      </w:r>
      <w:proofErr w:type="gramEnd"/>
      <w:r w:rsidRPr="00E64E33">
        <w:rPr>
          <w:rFonts w:eastAsia="Calibri"/>
          <w:bCs/>
          <w:iCs/>
          <w:sz w:val="28"/>
          <w:szCs w:val="28"/>
          <w:lang w:eastAsia="zh-CN"/>
        </w:rPr>
        <w:t xml:space="preserve"> исполнением постановления оставляю за собой.</w:t>
      </w:r>
    </w:p>
    <w:p w:rsidR="00E64E33" w:rsidRPr="00E64E33" w:rsidRDefault="00E64E33" w:rsidP="00E64E33">
      <w:pPr>
        <w:suppressAutoHyphens/>
        <w:ind w:left="644"/>
        <w:jc w:val="both"/>
        <w:rPr>
          <w:rFonts w:eastAsia="Calibri"/>
          <w:bCs/>
          <w:iCs/>
          <w:sz w:val="28"/>
          <w:szCs w:val="28"/>
          <w:lang w:eastAsia="zh-CN"/>
        </w:rPr>
      </w:pPr>
    </w:p>
    <w:p w:rsidR="00E64E33" w:rsidRPr="00B249E5" w:rsidRDefault="00E64E33" w:rsidP="00E64E33">
      <w:pPr>
        <w:jc w:val="both"/>
        <w:rPr>
          <w:b/>
          <w:bCs/>
          <w:iCs/>
          <w:color w:val="3C3C3C"/>
        </w:rPr>
      </w:pPr>
    </w:p>
    <w:p w:rsidR="00E64E33" w:rsidRPr="00A62976" w:rsidRDefault="00E64E33" w:rsidP="00E64E33">
      <w:pPr>
        <w:ind w:left="360"/>
        <w:jc w:val="both"/>
        <w:rPr>
          <w:sz w:val="28"/>
          <w:szCs w:val="28"/>
        </w:rPr>
      </w:pPr>
      <w:r w:rsidRPr="00A62976">
        <w:rPr>
          <w:sz w:val="28"/>
          <w:szCs w:val="28"/>
        </w:rPr>
        <w:t>Глава Куйтежского</w:t>
      </w:r>
    </w:p>
    <w:p w:rsidR="00E64E33" w:rsidRDefault="00E64E33" w:rsidP="00E64E33">
      <w:pPr>
        <w:jc w:val="both"/>
      </w:pPr>
      <w:r>
        <w:rPr>
          <w:sz w:val="28"/>
        </w:rPr>
        <w:t xml:space="preserve">    сельского поселения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Л.А.Хейнонен </w:t>
      </w:r>
      <w:r w:rsidRPr="00932876">
        <w:rPr>
          <w:bCs/>
        </w:rPr>
        <w:t xml:space="preserve">  </w:t>
      </w:r>
    </w:p>
    <w:p w:rsidR="00E64E33" w:rsidRDefault="00E64E33" w:rsidP="00E64E33">
      <w:pPr>
        <w:jc w:val="both"/>
      </w:pPr>
    </w:p>
    <w:p w:rsidR="00E64E33" w:rsidRDefault="00E64E33" w:rsidP="00E64E33">
      <w:pPr>
        <w:jc w:val="both"/>
      </w:pPr>
    </w:p>
    <w:p w:rsidR="00E64E33" w:rsidRDefault="00E64E33" w:rsidP="00E64E33">
      <w:pPr>
        <w:jc w:val="both"/>
      </w:pPr>
    </w:p>
    <w:p w:rsidR="00E64E33" w:rsidRDefault="00E64E33" w:rsidP="00E64E33">
      <w:pPr>
        <w:jc w:val="both"/>
      </w:pPr>
    </w:p>
    <w:p w:rsidR="00E64E33" w:rsidRDefault="00E64E33" w:rsidP="00E64E33">
      <w:pPr>
        <w:jc w:val="both"/>
      </w:pPr>
    </w:p>
    <w:p w:rsidR="00E64E33" w:rsidRDefault="00E64E33" w:rsidP="00E64E33">
      <w:pPr>
        <w:jc w:val="both"/>
      </w:pPr>
    </w:p>
    <w:p w:rsidR="00E64E33" w:rsidRDefault="00E64E33" w:rsidP="00E64E33">
      <w:pPr>
        <w:contextualSpacing/>
        <w:rPr>
          <w:color w:val="000000"/>
        </w:rPr>
      </w:pPr>
    </w:p>
    <w:p w:rsidR="00E64E33" w:rsidRPr="00B249E5" w:rsidRDefault="00E64E33" w:rsidP="00E64E33">
      <w:pPr>
        <w:suppressAutoHyphens/>
        <w:ind w:left="6372"/>
        <w:jc w:val="both"/>
        <w:rPr>
          <w:rFonts w:eastAsia="Calibri"/>
          <w:b/>
          <w:bCs/>
          <w:iCs/>
          <w:lang w:eastAsia="zh-CN"/>
        </w:rPr>
      </w:pPr>
      <w:r w:rsidRPr="00B249E5">
        <w:rPr>
          <w:rFonts w:eastAsia="Calibri"/>
          <w:b/>
          <w:bCs/>
          <w:iCs/>
          <w:lang w:eastAsia="zh-CN"/>
        </w:rPr>
        <w:lastRenderedPageBreak/>
        <w:t>Утвержден:</w:t>
      </w:r>
    </w:p>
    <w:p w:rsidR="00E64E33" w:rsidRPr="00B249E5" w:rsidRDefault="00E64E33" w:rsidP="0083727B">
      <w:pPr>
        <w:suppressAutoHyphens/>
        <w:ind w:left="5670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Постановлением администрации</w:t>
      </w:r>
    </w:p>
    <w:p w:rsidR="00E64E33" w:rsidRPr="00B249E5" w:rsidRDefault="00E64E33" w:rsidP="0083727B">
      <w:pPr>
        <w:suppressAutoHyphens/>
        <w:ind w:left="5670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К</w:t>
      </w:r>
      <w:r w:rsidR="0083727B">
        <w:rPr>
          <w:rFonts w:eastAsia="Calibri"/>
          <w:bCs/>
          <w:iCs/>
          <w:lang w:eastAsia="zh-CN"/>
        </w:rPr>
        <w:t>уйтеж</w:t>
      </w:r>
      <w:r>
        <w:rPr>
          <w:rFonts w:eastAsia="Calibri"/>
          <w:bCs/>
          <w:iCs/>
          <w:lang w:eastAsia="zh-CN"/>
        </w:rPr>
        <w:t>ского</w:t>
      </w:r>
      <w:r w:rsidRPr="00B249E5">
        <w:rPr>
          <w:rFonts w:eastAsia="Calibri"/>
          <w:bCs/>
          <w:iCs/>
          <w:lang w:eastAsia="zh-CN"/>
        </w:rPr>
        <w:t xml:space="preserve"> сельского поселения </w:t>
      </w:r>
    </w:p>
    <w:p w:rsidR="00E64E33" w:rsidRPr="00B249E5" w:rsidRDefault="00E64E33" w:rsidP="0083727B">
      <w:pPr>
        <w:tabs>
          <w:tab w:val="left" w:pos="1080"/>
          <w:tab w:val="left" w:pos="1800"/>
        </w:tabs>
        <w:suppressAutoHyphens/>
        <w:ind w:left="5670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от 1</w:t>
      </w:r>
      <w:r w:rsidR="0083727B">
        <w:rPr>
          <w:rFonts w:eastAsia="Calibri"/>
          <w:bCs/>
          <w:iCs/>
          <w:lang w:eastAsia="zh-CN"/>
        </w:rPr>
        <w:t>6</w:t>
      </w:r>
      <w:r w:rsidRPr="00B249E5">
        <w:rPr>
          <w:rFonts w:eastAsia="Calibri"/>
          <w:bCs/>
          <w:iCs/>
          <w:lang w:eastAsia="zh-CN"/>
        </w:rPr>
        <w:t>.</w:t>
      </w:r>
      <w:r>
        <w:rPr>
          <w:rFonts w:eastAsia="Calibri"/>
          <w:bCs/>
          <w:iCs/>
          <w:lang w:eastAsia="zh-CN"/>
        </w:rPr>
        <w:t>09</w:t>
      </w:r>
      <w:r w:rsidR="0083727B">
        <w:rPr>
          <w:rFonts w:eastAsia="Calibri"/>
          <w:bCs/>
          <w:iCs/>
          <w:lang w:eastAsia="zh-CN"/>
        </w:rPr>
        <w:t xml:space="preserve">.2024    </w:t>
      </w:r>
      <w:r w:rsidRPr="00B249E5">
        <w:rPr>
          <w:rFonts w:eastAsia="Calibri"/>
          <w:bCs/>
          <w:iCs/>
          <w:lang w:eastAsia="zh-CN"/>
        </w:rPr>
        <w:t xml:space="preserve"> № </w:t>
      </w:r>
      <w:r w:rsidR="0083727B">
        <w:rPr>
          <w:rFonts w:eastAsia="Calibri"/>
          <w:bCs/>
          <w:iCs/>
          <w:lang w:eastAsia="zh-CN"/>
        </w:rPr>
        <w:t>20</w:t>
      </w:r>
      <w:r w:rsidRPr="00B249E5">
        <w:rPr>
          <w:rFonts w:eastAsia="Calibri"/>
          <w:bCs/>
          <w:iCs/>
          <w:lang w:eastAsia="zh-CN"/>
        </w:rPr>
        <w:t xml:space="preserve"> </w:t>
      </w:r>
    </w:p>
    <w:p w:rsidR="00E64E33" w:rsidRPr="00B249E5" w:rsidRDefault="00E64E33" w:rsidP="00E64E33">
      <w:pPr>
        <w:tabs>
          <w:tab w:val="left" w:pos="1080"/>
          <w:tab w:val="left" w:pos="1800"/>
        </w:tabs>
        <w:suppressAutoHyphens/>
        <w:ind w:left="1065"/>
        <w:rPr>
          <w:rFonts w:eastAsia="Calibri"/>
          <w:bCs/>
          <w:iCs/>
          <w:lang w:eastAsia="zh-CN"/>
        </w:rPr>
      </w:pPr>
    </w:p>
    <w:p w:rsidR="00E64E33" w:rsidRPr="0083727B" w:rsidRDefault="00E64E33" w:rsidP="00E64E33">
      <w:pPr>
        <w:suppressAutoHyphens/>
        <w:contextualSpacing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83727B">
        <w:rPr>
          <w:rFonts w:eastAsia="Calibri"/>
          <w:b/>
          <w:bCs/>
          <w:iCs/>
          <w:sz w:val="28"/>
          <w:szCs w:val="28"/>
          <w:lang w:eastAsia="en-US"/>
        </w:rPr>
        <w:t>ПОРЯДОК</w:t>
      </w:r>
    </w:p>
    <w:p w:rsidR="00E64E33" w:rsidRPr="0083727B" w:rsidRDefault="00E64E33" w:rsidP="00E64E33">
      <w:pPr>
        <w:suppressAutoHyphens/>
        <w:contextualSpacing/>
        <w:jc w:val="center"/>
        <w:rPr>
          <w:rFonts w:eastAsia="Calibri"/>
          <w:b/>
          <w:bCs/>
          <w:iCs/>
          <w:sz w:val="28"/>
          <w:szCs w:val="28"/>
          <w:lang w:eastAsia="zh-CN"/>
        </w:rPr>
      </w:pPr>
      <w:r w:rsidRPr="0083727B">
        <w:rPr>
          <w:rFonts w:eastAsia="Calibri"/>
          <w:b/>
          <w:bCs/>
          <w:iCs/>
          <w:sz w:val="28"/>
          <w:szCs w:val="28"/>
          <w:lang w:eastAsia="zh-CN"/>
        </w:rPr>
        <w:t xml:space="preserve">ведения реестра муниципального имущества </w:t>
      </w:r>
    </w:p>
    <w:p w:rsidR="00E64E33" w:rsidRPr="00B249E5" w:rsidRDefault="00E64E33" w:rsidP="00E64E33">
      <w:pPr>
        <w:suppressAutoHyphens/>
        <w:contextualSpacing/>
        <w:jc w:val="center"/>
        <w:rPr>
          <w:rFonts w:eastAsia="Calibri"/>
          <w:b/>
          <w:bCs/>
          <w:iCs/>
          <w:lang w:eastAsia="en-US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lang w:eastAsia="zh-CN"/>
        </w:rPr>
      </w:pPr>
      <w:r w:rsidRPr="00B249E5">
        <w:rPr>
          <w:rFonts w:eastAsia="Calibri"/>
          <w:b/>
          <w:iCs/>
          <w:lang w:eastAsia="zh-CN"/>
        </w:rPr>
        <w:t>I. Общие положения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1. Настоящий Порядок устанавливает правила ведения органами местного самоуправления </w:t>
      </w:r>
      <w:r>
        <w:rPr>
          <w:rFonts w:eastAsia="Calibri"/>
          <w:bCs/>
          <w:iCs/>
          <w:lang w:eastAsia="zh-CN"/>
        </w:rPr>
        <w:t>К</w:t>
      </w:r>
      <w:r w:rsidR="0083727B">
        <w:rPr>
          <w:rFonts w:eastAsia="Calibri"/>
          <w:bCs/>
          <w:iCs/>
          <w:lang w:eastAsia="zh-CN"/>
        </w:rPr>
        <w:t>уйтеж</w:t>
      </w:r>
      <w:r>
        <w:rPr>
          <w:rFonts w:eastAsia="Calibri"/>
          <w:bCs/>
          <w:iCs/>
          <w:lang w:eastAsia="zh-CN"/>
        </w:rPr>
        <w:t>ского</w:t>
      </w:r>
      <w:r w:rsidRPr="00B249E5">
        <w:rPr>
          <w:rFonts w:eastAsia="Calibri"/>
          <w:bCs/>
          <w:iCs/>
          <w:lang w:eastAsia="zh-CN"/>
        </w:rPr>
        <w:t xml:space="preserve"> сельского поселения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proofErr w:type="gramStart"/>
      <w:r w:rsidRPr="00B249E5">
        <w:rPr>
          <w:rFonts w:eastAsia="Calibri"/>
          <w:bCs/>
          <w:iCs/>
          <w:lang w:eastAsia="zh-CN"/>
        </w:rPr>
        <w:t xml:space="preserve">1)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B249E5">
        <w:rPr>
          <w:rFonts w:eastAsia="Calibri"/>
          <w:bCs/>
          <w:iCs/>
          <w:lang w:eastAsia="zh-CN"/>
        </w:rPr>
        <w:t>машино</w:t>
      </w:r>
      <w:proofErr w:type="spellEnd"/>
      <w:r w:rsidR="0083727B">
        <w:rPr>
          <w:rFonts w:eastAsia="Calibri"/>
          <w:bCs/>
          <w:iCs/>
          <w:lang w:eastAsia="zh-CN"/>
        </w:rPr>
        <w:t xml:space="preserve"> </w:t>
      </w:r>
      <w:r w:rsidRPr="00B249E5">
        <w:rPr>
          <w:rFonts w:eastAsia="Calibri"/>
          <w:bCs/>
          <w:iCs/>
          <w:lang w:eastAsia="zh-CN"/>
        </w:rPr>
        <w:t>-</w:t>
      </w:r>
      <w:r w:rsidR="0083727B">
        <w:rPr>
          <w:rFonts w:eastAsia="Calibri"/>
          <w:bCs/>
          <w:iCs/>
          <w:lang w:eastAsia="zh-CN"/>
        </w:rPr>
        <w:t xml:space="preserve"> </w:t>
      </w:r>
      <w:r w:rsidRPr="00B249E5">
        <w:rPr>
          <w:rFonts w:eastAsia="Calibri"/>
          <w:bCs/>
          <w:iCs/>
          <w:lang w:eastAsia="zh-CN"/>
        </w:rPr>
        <w:t>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2) 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решением Совета </w:t>
      </w:r>
      <w:r w:rsidR="0083727B">
        <w:rPr>
          <w:rFonts w:eastAsia="Calibri"/>
          <w:bCs/>
          <w:iCs/>
          <w:lang w:eastAsia="zh-CN"/>
        </w:rPr>
        <w:t>Куйтежского</w:t>
      </w:r>
      <w:r w:rsidRPr="00B249E5">
        <w:rPr>
          <w:rFonts w:eastAsia="Calibri"/>
          <w:bCs/>
          <w:iCs/>
          <w:lang w:eastAsia="zh-CN"/>
        </w:rPr>
        <w:t xml:space="preserve"> сельского поселения;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3) 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решением Совета </w:t>
      </w:r>
      <w:r w:rsidR="0083727B">
        <w:rPr>
          <w:rFonts w:eastAsia="Calibri"/>
          <w:bCs/>
          <w:iCs/>
          <w:lang w:eastAsia="zh-CN"/>
        </w:rPr>
        <w:t xml:space="preserve">Куйтежского </w:t>
      </w:r>
      <w:r w:rsidRPr="00B249E5">
        <w:rPr>
          <w:rFonts w:eastAsia="Calibri"/>
          <w:bCs/>
          <w:iCs/>
          <w:lang w:eastAsia="zh-CN"/>
        </w:rPr>
        <w:t xml:space="preserve"> сельского поселения.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B249E5">
          <w:rPr>
            <w:rFonts w:eastAsia="Calibri"/>
            <w:bCs/>
            <w:iCs/>
            <w:lang w:eastAsia="zh-CN"/>
          </w:rPr>
          <w:t>1993 г</w:t>
        </w:r>
      </w:smartTag>
      <w:r w:rsidRPr="00B249E5">
        <w:rPr>
          <w:rFonts w:eastAsia="Calibri"/>
          <w:bCs/>
          <w:iCs/>
          <w:lang w:eastAsia="zh-CN"/>
        </w:rPr>
        <w:t>. N 5485-1 "О государственной тайне" к государственной тайне, самостоятельно.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5. Ведение реестра осуществляется уполномоченным органом местного</w:t>
      </w:r>
      <w:r w:rsidR="0083727B">
        <w:rPr>
          <w:rFonts w:eastAsia="Calibri"/>
          <w:bCs/>
          <w:iCs/>
          <w:lang w:eastAsia="zh-CN"/>
        </w:rPr>
        <w:t xml:space="preserve"> самоуправления – администрацией Куйтежского</w:t>
      </w:r>
      <w:r w:rsidRPr="00B249E5">
        <w:rPr>
          <w:rFonts w:eastAsia="Calibri"/>
          <w:bCs/>
          <w:iCs/>
          <w:lang w:eastAsia="zh-CN"/>
        </w:rPr>
        <w:t xml:space="preserve"> сельского поселения (далее - уполномоченный орган).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 Образец выписки из реестра приведен в приложении к настоящему Порядку.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lastRenderedPageBreak/>
        <w:t xml:space="preserve">8. Реестр ведется на бумажных и электронных носителях. 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9. </w:t>
      </w:r>
      <w:proofErr w:type="gramStart"/>
      <w:r w:rsidRPr="00B249E5">
        <w:rPr>
          <w:rFonts w:eastAsia="Calibri"/>
          <w:bCs/>
          <w:iCs/>
          <w:lang w:eastAsia="zh-CN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B249E5">
        <w:rPr>
          <w:rFonts w:eastAsia="Calibri"/>
          <w:bCs/>
          <w:iCs/>
          <w:lang w:eastAsia="zh-CN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10. Неотъемлемой частью реестра являются: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а) документы, подтверждающие сведения, включаемые в реестр (далее - подтверждающие документы);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б) иные документы, предусмотренные правовыми актами </w:t>
      </w:r>
      <w:r w:rsidR="0083727B">
        <w:rPr>
          <w:rFonts w:eastAsia="Calibri"/>
          <w:bCs/>
          <w:iCs/>
          <w:lang w:eastAsia="zh-CN"/>
        </w:rPr>
        <w:t>Куйтежского</w:t>
      </w:r>
      <w:r w:rsidRPr="00B249E5">
        <w:rPr>
          <w:rFonts w:eastAsia="Calibri"/>
          <w:bCs/>
          <w:iCs/>
          <w:lang w:eastAsia="zh-CN"/>
        </w:rPr>
        <w:t xml:space="preserve"> сельского поселения.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Сведения, содержащиеся в реестре, хранятся в соответствии с 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 w:rsidRPr="00B249E5">
          <w:rPr>
            <w:rFonts w:eastAsia="Calibri"/>
            <w:bCs/>
            <w:iCs/>
            <w:lang w:eastAsia="zh-CN"/>
          </w:rPr>
          <w:t>2004 г</w:t>
        </w:r>
      </w:smartTag>
      <w:r w:rsidRPr="00B249E5">
        <w:rPr>
          <w:rFonts w:eastAsia="Calibri"/>
          <w:bCs/>
          <w:iCs/>
          <w:lang w:eastAsia="zh-CN"/>
        </w:rPr>
        <w:t>. N 125-ФЗ "Об архивном деле в Российской Федерации".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iCs/>
          <w:lang w:eastAsia="zh-CN"/>
        </w:rPr>
      </w:pPr>
      <w:r w:rsidRPr="00B249E5">
        <w:rPr>
          <w:rFonts w:eastAsia="Calibri"/>
          <w:b/>
          <w:iCs/>
          <w:lang w:eastAsia="zh-CN"/>
        </w:rPr>
        <w:t>II. Состав сведений, подлежащих отражению в реестре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12. Реестр состоит из 3 разделов. </w:t>
      </w:r>
      <w:proofErr w:type="gramStart"/>
      <w:r w:rsidRPr="00B249E5">
        <w:rPr>
          <w:rFonts w:eastAsia="Calibri"/>
          <w:bCs/>
          <w:iCs/>
          <w:lang w:eastAsia="zh-CN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B249E5">
        <w:rPr>
          <w:rFonts w:eastAsia="Calibri"/>
          <w:bCs/>
          <w:iCs/>
          <w:lang w:eastAsia="zh-CN"/>
        </w:rPr>
        <w:t xml:space="preserve"> сведениями о них. В разделы 1, 2, 3 сведения вносятся с приложением подтверждающих документов.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13. В раздел 1 вносятся сведения о недвижимом имуществе.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1.1 раздела 1 реестра вносятся сведения о земельных участках,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наименование земельного участка;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адрес (местоположение) земельного участка с указанием кода Общероссийского </w:t>
      </w:r>
      <w:hyperlink r:id="rId7" w:history="1">
        <w:r w:rsidRPr="00B249E5">
          <w:rPr>
            <w:rFonts w:eastAsia="Calibri"/>
            <w:bCs/>
            <w:iCs/>
            <w:u w:val="single"/>
            <w:lang w:eastAsia="zh-CN"/>
          </w:rPr>
          <w:t>классификатора</w:t>
        </w:r>
      </w:hyperlink>
      <w:r w:rsidRPr="00B249E5">
        <w:rPr>
          <w:rFonts w:eastAsia="Calibri"/>
          <w:bCs/>
          <w:iCs/>
          <w:lang w:eastAsia="zh-CN"/>
        </w:rPr>
        <w:t xml:space="preserve"> территорий муниципальных образований (далее - ОКТМО);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кадастровый номер земельного участка (с датой присвоения);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proofErr w:type="gramStart"/>
      <w:r w:rsidRPr="00B249E5">
        <w:rPr>
          <w:rFonts w:eastAsia="Calibri"/>
          <w:bCs/>
          <w:iCs/>
          <w:lang w:eastAsia="zh-CN"/>
        </w:rPr>
        <w:t>- 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B249E5">
        <w:rPr>
          <w:rFonts w:eastAsia="Calibri"/>
          <w:bCs/>
          <w:iCs/>
          <w:lang w:eastAsia="zh-CN"/>
        </w:rPr>
        <w:t xml:space="preserve"> (месту пребывания) (для физических лиц) (с указанием кода </w:t>
      </w:r>
      <w:hyperlink r:id="rId8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 (далее - сведения о правообладателе);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вид вещного права, на основании которого правообладателю принадлежит земельный участок, с указанием реквизитов документов - оснований возникновения </w:t>
      </w:r>
      <w:r w:rsidRPr="00B249E5">
        <w:rPr>
          <w:rFonts w:eastAsia="Calibri"/>
          <w:bCs/>
          <w:iCs/>
          <w:lang w:eastAsia="zh-CN"/>
        </w:rPr>
        <w:lastRenderedPageBreak/>
        <w:t>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 земельного участка;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произведенном улучшении земельного участка;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proofErr w:type="gramStart"/>
      <w:r w:rsidRPr="00B249E5">
        <w:rPr>
          <w:rFonts w:eastAsia="Calibri"/>
          <w:bCs/>
          <w:iCs/>
          <w:lang w:eastAsia="zh-CN"/>
        </w:rPr>
        <w:t xml:space="preserve">- 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9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  <w:proofErr w:type="gramEnd"/>
      </w:hyperlink>
      <w:r w:rsidRPr="00B249E5">
        <w:rPr>
          <w:rFonts w:eastAsia="Calibri"/>
          <w:bCs/>
          <w:iCs/>
          <w:lang w:eastAsia="zh-CN"/>
        </w:rPr>
        <w:t>) (далее 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наименование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назначение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адрес (местоположение) объекта учета (с указанием кода </w:t>
      </w:r>
      <w:hyperlink r:id="rId10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кадастровый номер объекта учета (с датой присвоения);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земельном участке, на котором расположен объект учета (кадастровый номер, форма собственности, площадь);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инвентарный номер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В подраздел 1.3 раздела 1 реестра вносятся сведения о помещениях, </w:t>
      </w:r>
      <w:proofErr w:type="spellStart"/>
      <w:r w:rsidRPr="00B249E5">
        <w:rPr>
          <w:rFonts w:eastAsia="Calibri"/>
          <w:bCs/>
          <w:iCs/>
          <w:lang w:eastAsia="zh-CN"/>
        </w:rPr>
        <w:t>машино</w:t>
      </w:r>
      <w:proofErr w:type="spellEnd"/>
      <w:r w:rsidR="0083727B">
        <w:rPr>
          <w:rFonts w:eastAsia="Calibri"/>
          <w:bCs/>
          <w:iCs/>
          <w:lang w:eastAsia="zh-CN"/>
        </w:rPr>
        <w:t xml:space="preserve"> </w:t>
      </w:r>
      <w:proofErr w:type="gramStart"/>
      <w:r w:rsidRPr="00B249E5">
        <w:rPr>
          <w:rFonts w:eastAsia="Calibri"/>
          <w:bCs/>
          <w:iCs/>
          <w:lang w:eastAsia="zh-CN"/>
        </w:rPr>
        <w:t>-м</w:t>
      </w:r>
      <w:proofErr w:type="gramEnd"/>
      <w:r w:rsidRPr="00B249E5">
        <w:rPr>
          <w:rFonts w:eastAsia="Calibri"/>
          <w:bCs/>
          <w:iCs/>
          <w:lang w:eastAsia="zh-CN"/>
        </w:rPr>
        <w:t>естах и иных объектах, отнесенных законом к недвижимости,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наименование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назначение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адрес (местоположение) объекта учета (с указанием кода </w:t>
      </w:r>
      <w:hyperlink r:id="rId11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кадастровый номер объекта учета (с датой присвоения);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здании, сооружении, в состав которого входит объект учета (кадастровый номер, форма собственности);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lastRenderedPageBreak/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инвентарный номер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наименование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назначение объекта учета;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порт (место) регистрации и (или) место (аэродром) базирования (с указанием кода </w:t>
      </w:r>
      <w:hyperlink r:id="rId12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регистрационный номер (с датой присвоения);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 судна;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сведения о </w:t>
      </w:r>
      <w:proofErr w:type="gramStart"/>
      <w:r w:rsidRPr="00B249E5">
        <w:rPr>
          <w:rFonts w:eastAsia="Calibri"/>
          <w:bCs/>
          <w:iCs/>
          <w:lang w:eastAsia="zh-CN"/>
        </w:rPr>
        <w:t>произведенных</w:t>
      </w:r>
      <w:proofErr w:type="gramEnd"/>
      <w:r w:rsidRPr="00B249E5">
        <w:rPr>
          <w:rFonts w:eastAsia="Calibri"/>
          <w:bCs/>
          <w:iCs/>
          <w:lang w:eastAsia="zh-CN"/>
        </w:rPr>
        <w:t xml:space="preserve"> ремонте, модернизации судна;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раздел 2 вносятся сведения о движимом и ином имуществе.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2.1 раздела 2 реестра вносятся сведения об акциях,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3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lastRenderedPageBreak/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4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доля (вклад) в уставном (складочном) капитале хозяйственного общества, товарищества в процентах;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вид вещного права, на основании которого правообладателю принадлежит объект учета, с </w:t>
      </w:r>
      <w:r w:rsidRPr="00B249E5">
        <w:rPr>
          <w:rFonts w:eastAsia="Calibri"/>
          <w:bCs/>
          <w:iCs/>
          <w:lang w:eastAsia="zh-CN"/>
        </w:rPr>
        <w:tab/>
        <w:t>-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наименование движимого имущества (иного имущества);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объекте учета, в том числе: марка, модель, год выпуска, инвентарный номер;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размер доли в праве общей долевой собственности на объекты недвижимого и (или) движимого имущества;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стоимости доли;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proofErr w:type="gramStart"/>
      <w:r w:rsidRPr="00B249E5">
        <w:rPr>
          <w:rFonts w:eastAsia="Calibri"/>
          <w:bCs/>
          <w:iCs/>
          <w:lang w:eastAsia="zh-CN"/>
        </w:rPr>
        <w:t xml:space="preserve">- 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5" w:history="1">
        <w:r w:rsidRPr="00B249E5">
          <w:rPr>
            <w:rFonts w:eastAsia="Calibri"/>
            <w:bCs/>
            <w:iCs/>
            <w:u w:val="single"/>
            <w:lang w:eastAsia="zh-CN"/>
          </w:rPr>
          <w:t>ОКТМО</w:t>
        </w:r>
      </w:hyperlink>
      <w:r w:rsidRPr="00B249E5">
        <w:rPr>
          <w:rFonts w:eastAsia="Calibri"/>
          <w:bCs/>
          <w:iCs/>
          <w:lang w:eastAsia="zh-CN"/>
        </w:rPr>
        <w:t>);</w:t>
      </w:r>
      <w:proofErr w:type="gramEnd"/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lastRenderedPageBreak/>
        <w:t>- 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лице, в пользу которого установлены ограничения (обременения);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сведения о правообладателях;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реестровый номер объектов учета, принадлежащих на соответствующем вещном праве;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иные сведения (при необходимости).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Ведение учета объекта учета без указания стоимостной оценки не допускается.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lang w:eastAsia="zh-CN"/>
        </w:rPr>
      </w:pPr>
      <w:r w:rsidRPr="00B249E5">
        <w:rPr>
          <w:rFonts w:eastAsia="Calibri"/>
          <w:b/>
          <w:iCs/>
          <w:lang w:eastAsia="zh-CN"/>
        </w:rPr>
        <w:t>III. Порядок учета муниципального имущества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15. </w:t>
      </w:r>
      <w:proofErr w:type="gramStart"/>
      <w:r w:rsidRPr="00B249E5">
        <w:rPr>
          <w:rFonts w:eastAsia="Calibri"/>
          <w:bCs/>
          <w:iCs/>
          <w:lang w:eastAsia="zh-CN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</w:t>
      </w:r>
      <w:proofErr w:type="gramEnd"/>
      <w:r w:rsidRPr="00B249E5">
        <w:rPr>
          <w:rFonts w:eastAsia="Calibri"/>
          <w:bCs/>
          <w:iCs/>
          <w:lang w:eastAsia="zh-CN"/>
        </w:rPr>
        <w:t>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16. </w:t>
      </w:r>
      <w:proofErr w:type="gramStart"/>
      <w:r w:rsidRPr="00B249E5">
        <w:rPr>
          <w:rFonts w:eastAsia="Calibri"/>
          <w:bCs/>
          <w:iCs/>
          <w:lang w:eastAsia="zh-CN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</w:t>
      </w:r>
      <w:proofErr w:type="gramEnd"/>
      <w:r w:rsidRPr="00B249E5">
        <w:rPr>
          <w:rFonts w:eastAsia="Calibri"/>
          <w:bCs/>
          <w:iCs/>
          <w:lang w:eastAsia="zh-CN"/>
        </w:rPr>
        <w:t>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17. </w:t>
      </w:r>
      <w:proofErr w:type="gramStart"/>
      <w:r w:rsidRPr="00B249E5">
        <w:rPr>
          <w:rFonts w:eastAsia="Calibri"/>
          <w:bCs/>
          <w:iCs/>
          <w:lang w:eastAsia="zh-CN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B249E5">
        <w:rPr>
          <w:rFonts w:eastAsia="Calibri"/>
          <w:bCs/>
          <w:iCs/>
          <w:lang w:eastAsia="zh-CN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18. В случае</w:t>
      </w:r>
      <w:proofErr w:type="gramStart"/>
      <w:r w:rsidRPr="00B249E5">
        <w:rPr>
          <w:rFonts w:eastAsia="Calibri"/>
          <w:bCs/>
          <w:iCs/>
          <w:lang w:eastAsia="zh-CN"/>
        </w:rPr>
        <w:t>,</w:t>
      </w:r>
      <w:proofErr w:type="gramEnd"/>
      <w:r w:rsidRPr="00B249E5">
        <w:rPr>
          <w:rFonts w:eastAsia="Calibri"/>
          <w:bCs/>
          <w:iCs/>
          <w:lang w:eastAsia="zh-CN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</w:t>
      </w:r>
      <w:r w:rsidRPr="00B249E5">
        <w:rPr>
          <w:rFonts w:eastAsia="Calibri"/>
          <w:bCs/>
          <w:iCs/>
          <w:lang w:eastAsia="zh-CN"/>
        </w:rPr>
        <w:lastRenderedPageBreak/>
        <w:t>первом настоящего пункта, в отношении каждого объекта учета.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19. </w:t>
      </w:r>
      <w:proofErr w:type="gramStart"/>
      <w:r w:rsidRPr="00B249E5">
        <w:rPr>
          <w:rFonts w:eastAsia="Calibri"/>
          <w:bCs/>
          <w:iCs/>
          <w:lang w:eastAsia="zh-CN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B249E5">
        <w:rPr>
          <w:rFonts w:eastAsia="Calibri"/>
          <w:bCs/>
          <w:iCs/>
          <w:lang w:eastAsia="zh-CN"/>
        </w:rPr>
        <w:t xml:space="preserve"> и реквизитов документов, подтверждающих засекречивание этих сведений.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20. Сведения об объекте учета, заявления и документы, указанные в пунктах 15 - 18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B249E5">
        <w:rPr>
          <w:rFonts w:eastAsia="Calibri"/>
          <w:bCs/>
          <w:iCs/>
          <w:lang w:eastAsia="zh-CN"/>
        </w:rPr>
        <w:t>подписи</w:t>
      </w:r>
      <w:proofErr w:type="gramEnd"/>
      <w:r w:rsidRPr="00B249E5">
        <w:rPr>
          <w:rFonts w:eastAsia="Calibri"/>
          <w:bCs/>
          <w:iCs/>
          <w:lang w:eastAsia="zh-CN"/>
        </w:rPr>
        <w:t xml:space="preserve"> уполномоченным должностным лицом правообладателя.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 w:rsidRPr="00B249E5">
        <w:rPr>
          <w:rFonts w:eastAsia="Calibri"/>
          <w:bCs/>
          <w:iCs/>
          <w:lang w:eastAsia="zh-CN"/>
        </w:rPr>
        <w:t>о</w:t>
      </w:r>
      <w:proofErr w:type="gramEnd"/>
      <w:r w:rsidRPr="00B249E5">
        <w:rPr>
          <w:rFonts w:eastAsia="Calibri"/>
          <w:bCs/>
          <w:iCs/>
          <w:lang w:eastAsia="zh-CN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proofErr w:type="gramStart"/>
      <w:r w:rsidRPr="00B249E5">
        <w:rPr>
          <w:rFonts w:eastAsia="Calibri"/>
          <w:bCs/>
          <w:iCs/>
          <w:lang w:eastAsia="zh-CN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в) о приостановлении процедуры учета в реестре объекта учета в следующих случаях: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- </w:t>
      </w:r>
      <w:proofErr w:type="gramStart"/>
      <w:r w:rsidRPr="00B249E5">
        <w:rPr>
          <w:rFonts w:eastAsia="Calibri"/>
          <w:bCs/>
          <w:iCs/>
          <w:lang w:eastAsia="zh-CN"/>
        </w:rPr>
        <w:t>установлены</w:t>
      </w:r>
      <w:proofErr w:type="gramEnd"/>
      <w:r w:rsidRPr="00B249E5">
        <w:rPr>
          <w:rFonts w:eastAsia="Calibri"/>
          <w:bCs/>
          <w:iCs/>
          <w:lang w:eastAsia="zh-CN"/>
        </w:rPr>
        <w:t xml:space="preserve"> неполнота и (или) недостоверность содержащихся в документах правообладателя сведений;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- 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 случае принятия уполномоченным органом решения, предусмотренного подпунктом "в"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23. </w:t>
      </w:r>
      <w:proofErr w:type="gramStart"/>
      <w:r w:rsidRPr="00B249E5">
        <w:rPr>
          <w:rFonts w:eastAsia="Calibri"/>
          <w:bCs/>
          <w:iCs/>
          <w:lang w:eastAsia="zh-CN"/>
        </w:rPr>
        <w:t xml:space="preserve"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</w:t>
      </w:r>
      <w:r w:rsidRPr="00B249E5">
        <w:rPr>
          <w:rFonts w:eastAsia="Calibri"/>
          <w:bCs/>
          <w:iCs/>
          <w:lang w:eastAsia="zh-CN"/>
        </w:rPr>
        <w:lastRenderedPageBreak/>
        <w:t>реестре, уполномоченный орган в 7-дневный срок:</w:t>
      </w:r>
      <w:proofErr w:type="gramEnd"/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а) вносит в реестр сведения об объекте учета, в том числе о правообладателях (при наличии);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24. </w:t>
      </w:r>
      <w:proofErr w:type="gramStart"/>
      <w:r w:rsidRPr="00B249E5">
        <w:rPr>
          <w:rFonts w:eastAsia="Calibri"/>
          <w:bCs/>
          <w:iCs/>
          <w:lang w:eastAsia="zh-CN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B249E5">
        <w:rPr>
          <w:rFonts w:eastAsia="Calibri"/>
          <w:bCs/>
          <w:iCs/>
          <w:lang w:eastAsia="zh-CN"/>
        </w:rPr>
        <w:t>, осуществляется уполномоченным органом в порядке, установленном пунктами 15 - 23 настоящего Порядка.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lang w:eastAsia="zh-CN"/>
        </w:rPr>
      </w:pPr>
      <w:r w:rsidRPr="00B249E5">
        <w:rPr>
          <w:rFonts w:eastAsia="Calibri"/>
          <w:b/>
          <w:iCs/>
          <w:lang w:eastAsia="zh-CN"/>
        </w:rPr>
        <w:t>IV. Предоставление информации из реестра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27. </w:t>
      </w:r>
      <w:proofErr w:type="gramStart"/>
      <w:r w:rsidRPr="00B249E5">
        <w:rPr>
          <w:rFonts w:eastAsia="Calibri"/>
          <w:bCs/>
          <w:iCs/>
          <w:lang w:eastAsia="zh-CN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</w:t>
      </w:r>
      <w:proofErr w:type="gramEnd"/>
      <w:r w:rsidRPr="00B249E5">
        <w:rPr>
          <w:rFonts w:eastAsia="Calibri"/>
          <w:bCs/>
          <w:iCs/>
          <w:lang w:eastAsia="zh-CN"/>
        </w:rPr>
        <w:t xml:space="preserve">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</w:t>
      </w:r>
      <w:r w:rsidRPr="00B249E5">
        <w:rPr>
          <w:rFonts w:eastAsia="Calibri"/>
          <w:b/>
          <w:bCs/>
          <w:iCs/>
          <w:lang w:eastAsia="zh-CN"/>
        </w:rPr>
        <w:t>в течение 10 рабочих дней со дня поступления запроса.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Уполномоченный орган вправе </w:t>
      </w:r>
      <w:proofErr w:type="gramStart"/>
      <w:r w:rsidRPr="00B249E5">
        <w:rPr>
          <w:rFonts w:eastAsia="Calibri"/>
          <w:bCs/>
          <w:iCs/>
          <w:lang w:eastAsia="zh-CN"/>
        </w:rPr>
        <w:t>предоставлять документы</w:t>
      </w:r>
      <w:proofErr w:type="gramEnd"/>
      <w:r w:rsidRPr="00B249E5">
        <w:rPr>
          <w:rFonts w:eastAsia="Calibri"/>
          <w:bCs/>
          <w:iCs/>
          <w:lang w:eastAsia="zh-CN"/>
        </w:rPr>
        <w:t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пунктом 29 настоящего Порядка.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iCs/>
          <w:lang w:eastAsia="zh-CN"/>
        </w:rPr>
        <w:t xml:space="preserve">29. </w:t>
      </w:r>
      <w:proofErr w:type="gramStart"/>
      <w:r w:rsidRPr="00B249E5">
        <w:rPr>
          <w:rFonts w:eastAsia="Calibri"/>
          <w:bCs/>
          <w:iCs/>
          <w:lang w:eastAsia="zh-CN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B249E5">
        <w:rPr>
          <w:rFonts w:eastAsia="Calibri"/>
          <w:bCs/>
          <w:iCs/>
          <w:lang w:eastAsia="zh-CN"/>
        </w:rPr>
        <w:t xml:space="preserve"> заместителям, аудиторам Счетной палаты Российской Федерации и государственным внебюджетным </w:t>
      </w:r>
      <w:r w:rsidRPr="00B249E5">
        <w:rPr>
          <w:rFonts w:eastAsia="Calibri"/>
          <w:bCs/>
          <w:iCs/>
          <w:lang w:eastAsia="zh-CN"/>
        </w:rPr>
        <w:lastRenderedPageBreak/>
        <w:t>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E64E33" w:rsidRPr="00B249E5" w:rsidRDefault="00E64E33" w:rsidP="0083727B">
      <w:pPr>
        <w:widowControl w:val="0"/>
        <w:suppressAutoHyphens/>
        <w:autoSpaceDE w:val="0"/>
        <w:autoSpaceDN w:val="0"/>
        <w:adjustRightInd w:val="0"/>
        <w:ind w:left="6237"/>
        <w:rPr>
          <w:rFonts w:eastAsia="Calibri"/>
          <w:bCs/>
          <w:iCs/>
          <w:lang w:eastAsia="zh-CN"/>
        </w:rPr>
      </w:pPr>
      <w:r w:rsidRPr="00B249E5">
        <w:rPr>
          <w:rFonts w:eastAsia="Calibri"/>
          <w:b/>
          <w:bCs/>
          <w:iCs/>
          <w:sz w:val="22"/>
          <w:szCs w:val="22"/>
          <w:lang w:eastAsia="en-US"/>
        </w:rPr>
        <w:br w:type="page"/>
      </w:r>
      <w:r w:rsidRPr="00B249E5">
        <w:rPr>
          <w:rFonts w:eastAsia="Calibri"/>
          <w:bCs/>
          <w:lang w:eastAsia="zh-CN"/>
        </w:rPr>
        <w:lastRenderedPageBreak/>
        <w:t>Приложение</w:t>
      </w:r>
    </w:p>
    <w:p w:rsidR="00E64E33" w:rsidRPr="00B249E5" w:rsidRDefault="00E64E33" w:rsidP="0083727B">
      <w:pPr>
        <w:widowControl w:val="0"/>
        <w:suppressAutoHyphens/>
        <w:autoSpaceDE w:val="0"/>
        <w:autoSpaceDN w:val="0"/>
        <w:adjustRightInd w:val="0"/>
        <w:ind w:left="6237"/>
        <w:rPr>
          <w:rFonts w:eastAsia="Calibri"/>
          <w:bCs/>
          <w:iCs/>
          <w:lang w:eastAsia="zh-CN"/>
        </w:rPr>
      </w:pPr>
      <w:r w:rsidRPr="00B249E5">
        <w:rPr>
          <w:rFonts w:eastAsia="Calibri"/>
          <w:bCs/>
          <w:lang w:eastAsia="zh-CN"/>
        </w:rPr>
        <w:t>к Порядку ведения реестра</w:t>
      </w:r>
    </w:p>
    <w:p w:rsidR="00E64E33" w:rsidRPr="00B249E5" w:rsidRDefault="00E64E33" w:rsidP="0083727B">
      <w:pPr>
        <w:widowControl w:val="0"/>
        <w:suppressAutoHyphens/>
        <w:autoSpaceDE w:val="0"/>
        <w:autoSpaceDN w:val="0"/>
        <w:adjustRightInd w:val="0"/>
        <w:ind w:left="6237"/>
        <w:rPr>
          <w:rFonts w:eastAsia="Calibri"/>
          <w:bCs/>
          <w:lang w:eastAsia="zh-CN"/>
        </w:rPr>
      </w:pPr>
      <w:r w:rsidRPr="00B249E5">
        <w:rPr>
          <w:rFonts w:eastAsia="Calibri"/>
          <w:bCs/>
          <w:lang w:eastAsia="zh-CN"/>
        </w:rPr>
        <w:t>муниципального имущества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right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zh-CN"/>
        </w:rPr>
      </w:pPr>
      <w:r w:rsidRPr="00B249E5">
        <w:rPr>
          <w:rFonts w:eastAsia="Calibri"/>
          <w:b/>
          <w:iCs/>
          <w:sz w:val="22"/>
          <w:szCs w:val="22"/>
          <w:lang w:eastAsia="zh-CN"/>
        </w:rPr>
        <w:t>ВЫПИСКА N ____ ИЗ РЕЕСТРА МУНИЦИПАЛЬНОГО ИМУЩЕСТВА ОБ ОБЪЕКТЕ УЧЕТА МУНИЦИПАЛЬНОГО ИМУЩЕСТВА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/>
          <w:iCs/>
          <w:sz w:val="22"/>
          <w:szCs w:val="22"/>
          <w:lang w:eastAsia="zh-CN"/>
        </w:rPr>
        <w:t>на "__" ________ 20__ г.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Орган местного самоуправления, уполномоченный на ведение реестра муниципального имущества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7500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Заявитель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/>
          <w:iCs/>
          <w:sz w:val="22"/>
          <w:szCs w:val="22"/>
          <w:lang w:eastAsia="zh-CN"/>
        </w:rPr>
        <w:t>1. Сведения об объекте муниципального имущества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Cs/>
          <w:iCs/>
          <w:sz w:val="22"/>
          <w:szCs w:val="22"/>
          <w:lang w:eastAsia="zh-CN"/>
        </w:rPr>
        <w:t>Вид и наименование объекта учета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Реестровый номер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Дата присвоения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625"/>
        <w:gridCol w:w="2125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Наименования сведений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Значения сведений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/>
          <w:iCs/>
          <w:sz w:val="22"/>
          <w:szCs w:val="22"/>
          <w:lang w:eastAsia="zh-CN"/>
        </w:rPr>
        <w:t>2. Информация об изменении сведений об объекте учета муниципального имущества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0"/>
        <w:gridCol w:w="2125"/>
        <w:gridCol w:w="1750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Наименование изменения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Значение сведений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Дата изменения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3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Cs/>
          <w:iCs/>
          <w:sz w:val="22"/>
          <w:szCs w:val="22"/>
          <w:lang w:eastAsia="zh-CN"/>
        </w:rPr>
        <w:t>ОТМЕТКА О ПОДТВЕРЖДЕНИИ СВЕДЕНИЙ, СОДЕРЖАЩИХСЯ В НАСТОЯЩЕЙ ВЫПИСКЕ</w:t>
      </w:r>
    </w:p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rPr>
          <w:rFonts w:eastAsia="Calibri"/>
          <w:bCs/>
          <w:iCs/>
          <w:sz w:val="22"/>
          <w:szCs w:val="22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450"/>
        <w:gridCol w:w="3174"/>
        <w:gridCol w:w="249"/>
        <w:gridCol w:w="2115"/>
        <w:gridCol w:w="249"/>
        <w:gridCol w:w="2118"/>
      </w:tblGrid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Ответственный исполнитель: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</w:tr>
      <w:tr w:rsidR="00E64E33" w:rsidRPr="00B249E5" w:rsidTr="00EB2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4E33" w:rsidRPr="00B249E5" w:rsidRDefault="00E64E33" w:rsidP="00EB2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249E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(расшифровка подписи)</w:t>
            </w:r>
          </w:p>
        </w:tc>
      </w:tr>
    </w:tbl>
    <w:p w:rsidR="00E64E33" w:rsidRPr="00B249E5" w:rsidRDefault="00E64E33" w:rsidP="00E64E33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eastAsia="zh-CN"/>
        </w:rPr>
      </w:pPr>
      <w:r w:rsidRPr="00B249E5">
        <w:rPr>
          <w:rFonts w:eastAsia="Calibri"/>
          <w:bCs/>
          <w:iCs/>
          <w:sz w:val="22"/>
          <w:szCs w:val="22"/>
          <w:lang w:eastAsia="zh-CN"/>
        </w:rPr>
        <w:t>"__" ________________ 20__ г.</w:t>
      </w:r>
    </w:p>
    <w:p w:rsidR="00E64E33" w:rsidRPr="002D1FFC" w:rsidRDefault="00E64E33" w:rsidP="00E64E33">
      <w:pPr>
        <w:rPr>
          <w:sz w:val="26"/>
          <w:szCs w:val="26"/>
        </w:rPr>
      </w:pPr>
    </w:p>
    <w:p w:rsidR="00105D32" w:rsidRPr="00932876" w:rsidRDefault="00105D32" w:rsidP="0083727B">
      <w:pPr>
        <w:jc w:val="both"/>
        <w:rPr>
          <w:sz w:val="28"/>
        </w:rPr>
      </w:pPr>
    </w:p>
    <w:sectPr w:rsidR="00105D32" w:rsidRPr="00932876" w:rsidSect="00794659">
      <w:pgSz w:w="11906" w:h="16838" w:code="9"/>
      <w:pgMar w:top="567" w:right="850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E2BC5"/>
    <w:multiLevelType w:val="hybridMultilevel"/>
    <w:tmpl w:val="281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B2E74"/>
    <w:multiLevelType w:val="multilevel"/>
    <w:tmpl w:val="D852470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3">
    <w:nsid w:val="36AD4A7C"/>
    <w:multiLevelType w:val="multilevel"/>
    <w:tmpl w:val="751E73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659"/>
    <w:rsid w:val="000C7DFC"/>
    <w:rsid w:val="00105D32"/>
    <w:rsid w:val="001D027F"/>
    <w:rsid w:val="0021687E"/>
    <w:rsid w:val="007743DA"/>
    <w:rsid w:val="00794659"/>
    <w:rsid w:val="00797628"/>
    <w:rsid w:val="00806442"/>
    <w:rsid w:val="0083727B"/>
    <w:rsid w:val="00932876"/>
    <w:rsid w:val="009B5823"/>
    <w:rsid w:val="009E7588"/>
    <w:rsid w:val="00A62976"/>
    <w:rsid w:val="00E64E33"/>
    <w:rsid w:val="00E72D52"/>
    <w:rsid w:val="00F9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59"/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794659"/>
    <w:pPr>
      <w:spacing w:before="100" w:beforeAutospacing="1" w:after="100" w:afterAutospacing="1"/>
      <w:outlineLvl w:val="0"/>
    </w:pPr>
    <w:rPr>
      <w:b/>
      <w:sz w:val="48"/>
    </w:rPr>
  </w:style>
  <w:style w:type="paragraph" w:styleId="5">
    <w:name w:val="heading 5"/>
    <w:basedOn w:val="a"/>
    <w:next w:val="a"/>
    <w:link w:val="50"/>
    <w:qFormat/>
    <w:rsid w:val="0079465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4659"/>
    <w:pPr>
      <w:widowControl w:val="0"/>
      <w:suppressAutoHyphens/>
    </w:pPr>
    <w:rPr>
      <w:rFonts w:ascii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794659"/>
    <w:pPr>
      <w:spacing w:before="240" w:after="240"/>
      <w:ind w:left="720"/>
      <w:contextualSpacing/>
    </w:pPr>
  </w:style>
  <w:style w:type="paragraph" w:customStyle="1" w:styleId="11">
    <w:name w:val="Цитата1"/>
    <w:basedOn w:val="a"/>
    <w:rsid w:val="00794659"/>
    <w:pPr>
      <w:widowControl w:val="0"/>
      <w:suppressAutoHyphens/>
      <w:ind w:left="567" w:right="509" w:firstLine="851"/>
    </w:pPr>
  </w:style>
  <w:style w:type="paragraph" w:styleId="a4">
    <w:name w:val="Balloon Text"/>
    <w:basedOn w:val="a"/>
    <w:link w:val="a5"/>
    <w:rsid w:val="00794659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794659"/>
  </w:style>
  <w:style w:type="character" w:styleId="a6">
    <w:name w:val="Hyperlink"/>
    <w:basedOn w:val="a0"/>
    <w:rsid w:val="0079465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4659"/>
    <w:rPr>
      <w:b/>
      <w:sz w:val="48"/>
    </w:rPr>
  </w:style>
  <w:style w:type="character" w:customStyle="1" w:styleId="50">
    <w:name w:val="Заголовок 5 Знак"/>
    <w:basedOn w:val="a0"/>
    <w:link w:val="5"/>
    <w:rsid w:val="00794659"/>
    <w:rPr>
      <w:rFonts w:ascii="Cambria" w:hAnsi="Cambria"/>
      <w:color w:val="243F60"/>
    </w:rPr>
  </w:style>
  <w:style w:type="character" w:customStyle="1" w:styleId="a5">
    <w:name w:val="Текст выноски Знак"/>
    <w:basedOn w:val="a0"/>
    <w:link w:val="a4"/>
    <w:rsid w:val="00794659"/>
    <w:rPr>
      <w:rFonts w:ascii="Tahoma" w:hAnsi="Tahoma"/>
      <w:sz w:val="16"/>
    </w:rPr>
  </w:style>
  <w:style w:type="table" w:styleId="12">
    <w:name w:val="Table Simple 1"/>
    <w:basedOn w:val="a1"/>
    <w:rsid w:val="00794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2981#l0" TargetMode="External"/><Relationship Id="rId13" Type="http://schemas.openxmlformats.org/officeDocument/2006/relationships/hyperlink" Target="https://normativ.kontur.ru/document?moduleid=1&amp;documentid=222981#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22981#l0" TargetMode="External"/><Relationship Id="rId12" Type="http://schemas.openxmlformats.org/officeDocument/2006/relationships/hyperlink" Target="https://normativ.kontur.ru/document?moduleid=1&amp;documentid=222981#l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11" Type="http://schemas.openxmlformats.org/officeDocument/2006/relationships/hyperlink" Target="https://normativ.kontur.ru/document?moduleid=1&amp;documentid=222981#l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normativ.kontur.ru/document?moduleid=1&amp;documentid=222981#l0" TargetMode="External"/><Relationship Id="rId10" Type="http://schemas.openxmlformats.org/officeDocument/2006/relationships/hyperlink" Target="https://normativ.kontur.ru/document?moduleid=1&amp;documentid=222981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22981#l0" TargetMode="External"/><Relationship Id="rId14" Type="http://schemas.openxmlformats.org/officeDocument/2006/relationships/hyperlink" Target="https://normativ.kontur.ru/document?moduleid=1&amp;documentid=22298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2024-10-22T08:16:00Z</cp:lastPrinted>
  <dcterms:created xsi:type="dcterms:W3CDTF">2020-07-16T09:46:00Z</dcterms:created>
  <dcterms:modified xsi:type="dcterms:W3CDTF">2024-10-30T08:16:00Z</dcterms:modified>
</cp:coreProperties>
</file>